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515" w:rsidRPr="00611549" w:rsidRDefault="00D31B02" w:rsidP="00D31B0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11549">
        <w:rPr>
          <w:rFonts w:ascii="Times New Roman" w:hAnsi="Times New Roman" w:cs="Times New Roman"/>
          <w:b/>
          <w:sz w:val="28"/>
          <w:szCs w:val="24"/>
          <w:u w:val="single"/>
        </w:rPr>
        <w:t>Приложение №0.</w:t>
      </w:r>
    </w:p>
    <w:p w:rsidR="00325D1E" w:rsidRPr="00611549" w:rsidRDefault="00325D1E" w:rsidP="00D31B0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11549">
        <w:rPr>
          <w:rFonts w:ascii="Times New Roman" w:hAnsi="Times New Roman" w:cs="Times New Roman"/>
          <w:b/>
          <w:sz w:val="28"/>
          <w:szCs w:val="24"/>
          <w:u w:val="single"/>
        </w:rPr>
        <w:t>Некоторые с</w:t>
      </w:r>
      <w:r w:rsidR="00804A27" w:rsidRPr="00611549">
        <w:rPr>
          <w:rFonts w:ascii="Times New Roman" w:hAnsi="Times New Roman" w:cs="Times New Roman"/>
          <w:b/>
          <w:sz w:val="28"/>
          <w:szCs w:val="24"/>
          <w:u w:val="single"/>
        </w:rPr>
        <w:t xml:space="preserve">татистические данные </w:t>
      </w:r>
      <w:proofErr w:type="gramStart"/>
      <w:r w:rsidR="00804A27" w:rsidRPr="00611549">
        <w:rPr>
          <w:rFonts w:ascii="Times New Roman" w:hAnsi="Times New Roman" w:cs="Times New Roman"/>
          <w:b/>
          <w:sz w:val="28"/>
          <w:szCs w:val="24"/>
          <w:u w:val="single"/>
        </w:rPr>
        <w:t>о</w:t>
      </w:r>
      <w:proofErr w:type="gramEnd"/>
      <w:r w:rsidR="00804A27" w:rsidRPr="00611549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D31B02" w:rsidRPr="00611549">
        <w:rPr>
          <w:rFonts w:ascii="Times New Roman" w:hAnsi="Times New Roman" w:cs="Times New Roman"/>
          <w:b/>
          <w:sz w:val="28"/>
          <w:szCs w:val="24"/>
          <w:u w:val="single"/>
        </w:rPr>
        <w:t xml:space="preserve">учащихся </w:t>
      </w:r>
    </w:p>
    <w:p w:rsidR="00D31B02" w:rsidRPr="00611549" w:rsidRDefault="00D31B02" w:rsidP="00D31B0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11549">
        <w:rPr>
          <w:rFonts w:ascii="Times New Roman" w:hAnsi="Times New Roman" w:cs="Times New Roman"/>
          <w:b/>
          <w:sz w:val="28"/>
          <w:szCs w:val="24"/>
          <w:u w:val="single"/>
        </w:rPr>
        <w:t>АНО СОШ «Димитриевская»</w:t>
      </w:r>
    </w:p>
    <w:p w:rsidR="00325D1E" w:rsidRPr="00611549" w:rsidRDefault="00325D1E" w:rsidP="00611549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611549">
        <w:rPr>
          <w:rFonts w:ascii="Times New Roman" w:hAnsi="Times New Roman" w:cs="Times New Roman"/>
          <w:sz w:val="28"/>
          <w:szCs w:val="28"/>
        </w:rPr>
        <w:t>На 5 ноября 2015 учебного года в школе функционируют 11 классов общей численностью 220 обучающихся. Динамика изменения числа учащихся по состоянию на начало сентября каждого года представлена на графике №1.</w:t>
      </w:r>
    </w:p>
    <w:p w:rsidR="00325D1E" w:rsidRDefault="00E531A9" w:rsidP="00325D1E">
      <w:pPr>
        <w:spacing w:line="360" w:lineRule="auto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4830FD1" wp14:editId="1302BF23">
            <wp:simplePos x="0" y="0"/>
            <wp:positionH relativeFrom="column">
              <wp:posOffset>454932</wp:posOffset>
            </wp:positionH>
            <wp:positionV relativeFrom="paragraph">
              <wp:posOffset>20955</wp:posOffset>
            </wp:positionV>
            <wp:extent cx="5164708" cy="2631066"/>
            <wp:effectExtent l="0" t="0" r="0" b="0"/>
            <wp:wrapNone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D1E" w:rsidRDefault="00325D1E" w:rsidP="00325D1E">
      <w:pPr>
        <w:spacing w:line="360" w:lineRule="auto"/>
        <w:ind w:firstLine="709"/>
        <w:jc w:val="both"/>
      </w:pPr>
    </w:p>
    <w:p w:rsidR="00325D1E" w:rsidRDefault="00325D1E" w:rsidP="00325D1E">
      <w:pPr>
        <w:spacing w:line="360" w:lineRule="auto"/>
        <w:ind w:firstLine="709"/>
        <w:jc w:val="both"/>
      </w:pPr>
    </w:p>
    <w:p w:rsidR="00325D1E" w:rsidRDefault="00325D1E" w:rsidP="00325D1E">
      <w:pPr>
        <w:spacing w:line="360" w:lineRule="auto"/>
        <w:ind w:firstLine="709"/>
        <w:jc w:val="both"/>
      </w:pPr>
    </w:p>
    <w:p w:rsidR="00325D1E" w:rsidRDefault="00325D1E" w:rsidP="00325D1E">
      <w:pPr>
        <w:spacing w:line="360" w:lineRule="auto"/>
        <w:ind w:firstLine="709"/>
        <w:jc w:val="both"/>
      </w:pPr>
    </w:p>
    <w:p w:rsidR="00325D1E" w:rsidRDefault="00325D1E" w:rsidP="00325D1E">
      <w:pPr>
        <w:spacing w:line="360" w:lineRule="auto"/>
        <w:ind w:firstLine="709"/>
        <w:jc w:val="both"/>
      </w:pPr>
    </w:p>
    <w:p w:rsidR="00325D1E" w:rsidRDefault="00325D1E" w:rsidP="00325D1E">
      <w:pPr>
        <w:spacing w:line="360" w:lineRule="auto"/>
        <w:ind w:firstLine="709"/>
        <w:jc w:val="both"/>
      </w:pPr>
    </w:p>
    <w:p w:rsidR="00325D1E" w:rsidRDefault="00325D1E" w:rsidP="00325D1E">
      <w:pPr>
        <w:spacing w:line="360" w:lineRule="auto"/>
        <w:ind w:firstLine="709"/>
        <w:jc w:val="both"/>
      </w:pPr>
    </w:p>
    <w:p w:rsidR="00804A27" w:rsidRPr="00611549" w:rsidRDefault="00325D1E" w:rsidP="0061154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1549">
        <w:rPr>
          <w:rFonts w:ascii="Times New Roman" w:hAnsi="Times New Roman" w:cs="Times New Roman"/>
          <w:sz w:val="28"/>
          <w:szCs w:val="28"/>
        </w:rPr>
        <w:t>В школе обучаются дети из православных семей и воспитанники Свято-</w:t>
      </w:r>
      <w:proofErr w:type="spellStart"/>
      <w:r w:rsidRPr="00611549">
        <w:rPr>
          <w:rFonts w:ascii="Times New Roman" w:hAnsi="Times New Roman" w:cs="Times New Roman"/>
          <w:sz w:val="28"/>
          <w:szCs w:val="28"/>
        </w:rPr>
        <w:t>Димитриевского</w:t>
      </w:r>
      <w:proofErr w:type="spellEnd"/>
      <w:r w:rsidRPr="00611549">
        <w:rPr>
          <w:rFonts w:ascii="Times New Roman" w:hAnsi="Times New Roman" w:cs="Times New Roman"/>
          <w:sz w:val="28"/>
          <w:szCs w:val="28"/>
        </w:rPr>
        <w:t xml:space="preserve"> и Свято-Софийского детских домов, с которыми у школы заключены договора о сотрудничестве и едином педагогическом пространстве.</w:t>
      </w:r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25"/>
        <w:gridCol w:w="2336"/>
        <w:gridCol w:w="2336"/>
      </w:tblGrid>
      <w:tr w:rsidR="00804A27" w:rsidTr="00E531A9">
        <w:trPr>
          <w:jc w:val="center"/>
        </w:trPr>
        <w:tc>
          <w:tcPr>
            <w:tcW w:w="2625" w:type="dxa"/>
            <w:shd w:val="clear" w:color="auto" w:fill="F2F2F2" w:themeFill="background1" w:themeFillShade="F2"/>
          </w:tcPr>
          <w:p w:rsidR="00804A27" w:rsidRPr="00804A27" w:rsidRDefault="00804A27" w:rsidP="001D4645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7">
              <w:rPr>
                <w:rFonts w:ascii="Times New Roman" w:hAnsi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336" w:type="dxa"/>
            <w:shd w:val="clear" w:color="auto" w:fill="F2F2F2" w:themeFill="background1" w:themeFillShade="F2"/>
          </w:tcPr>
          <w:p w:rsidR="00804A27" w:rsidRPr="00804A27" w:rsidRDefault="00804A27" w:rsidP="001D4645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7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2336" w:type="dxa"/>
            <w:shd w:val="clear" w:color="auto" w:fill="F2F2F2" w:themeFill="background1" w:themeFillShade="F2"/>
          </w:tcPr>
          <w:p w:rsidR="00804A27" w:rsidRPr="00804A27" w:rsidRDefault="00804A27" w:rsidP="001D4645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7">
              <w:rPr>
                <w:rFonts w:ascii="Times New Roman" w:hAnsi="Times New Roman"/>
                <w:sz w:val="24"/>
                <w:szCs w:val="24"/>
              </w:rPr>
              <w:t>Количество детей, учащихся в школе</w:t>
            </w:r>
          </w:p>
        </w:tc>
      </w:tr>
      <w:tr w:rsidR="00804A27" w:rsidTr="00E531A9">
        <w:trPr>
          <w:jc w:val="center"/>
        </w:trPr>
        <w:tc>
          <w:tcPr>
            <w:tcW w:w="2625" w:type="dxa"/>
          </w:tcPr>
          <w:p w:rsidR="00804A27" w:rsidRPr="006620EB" w:rsidRDefault="00804A27" w:rsidP="001D4645">
            <w:pPr>
              <w:pStyle w:val="Standard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-2</w:t>
            </w:r>
          </w:p>
        </w:tc>
        <w:tc>
          <w:tcPr>
            <w:tcW w:w="2336" w:type="dxa"/>
          </w:tcPr>
          <w:p w:rsidR="00804A27" w:rsidRPr="0014418D" w:rsidRDefault="00804A27" w:rsidP="001D4645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35</w:t>
            </w:r>
          </w:p>
        </w:tc>
      </w:tr>
      <w:tr w:rsidR="00804A27" w:rsidTr="00E531A9">
        <w:trPr>
          <w:jc w:val="center"/>
        </w:trPr>
        <w:tc>
          <w:tcPr>
            <w:tcW w:w="2625" w:type="dxa"/>
          </w:tcPr>
          <w:p w:rsidR="00804A27" w:rsidRDefault="00804A27" w:rsidP="001D4645">
            <w:pPr>
              <w:pStyle w:val="Standard"/>
              <w:jc w:val="center"/>
            </w:pPr>
            <w:r>
              <w:t>3</w:t>
            </w:r>
          </w:p>
        </w:tc>
        <w:tc>
          <w:tcPr>
            <w:tcW w:w="2336" w:type="dxa"/>
          </w:tcPr>
          <w:p w:rsidR="00804A27" w:rsidRPr="00197E8A" w:rsidRDefault="00804A27" w:rsidP="001D4645">
            <w:pPr>
              <w:pStyle w:val="Standard"/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4</w:t>
            </w:r>
          </w:p>
        </w:tc>
        <w:tc>
          <w:tcPr>
            <w:tcW w:w="2336" w:type="dxa"/>
          </w:tcPr>
          <w:p w:rsidR="00804A27" w:rsidRPr="00197E8A" w:rsidRDefault="00804A27" w:rsidP="001D4645">
            <w:pPr>
              <w:pStyle w:val="Standard"/>
              <w:jc w:val="center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</w:tr>
      <w:tr w:rsidR="00804A27" w:rsidTr="00E531A9">
        <w:trPr>
          <w:jc w:val="center"/>
        </w:trPr>
        <w:tc>
          <w:tcPr>
            <w:tcW w:w="2625" w:type="dxa"/>
          </w:tcPr>
          <w:p w:rsidR="00804A27" w:rsidRDefault="00804A27" w:rsidP="001D4645">
            <w:pPr>
              <w:pStyle w:val="Standard"/>
              <w:jc w:val="center"/>
            </w:pPr>
            <w:r>
              <w:t>4</w:t>
            </w:r>
          </w:p>
        </w:tc>
        <w:tc>
          <w:tcPr>
            <w:tcW w:w="2336" w:type="dxa"/>
          </w:tcPr>
          <w:p w:rsidR="00804A27" w:rsidRPr="00197E8A" w:rsidRDefault="00804A27" w:rsidP="001D4645">
            <w:pPr>
              <w:pStyle w:val="Standard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336" w:type="dxa"/>
          </w:tcPr>
          <w:p w:rsidR="00804A27" w:rsidRPr="00197E8A" w:rsidRDefault="00804A27" w:rsidP="001D4645">
            <w:pPr>
              <w:pStyle w:val="Standard"/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804A27" w:rsidTr="00E531A9">
        <w:trPr>
          <w:jc w:val="center"/>
        </w:trPr>
        <w:tc>
          <w:tcPr>
            <w:tcW w:w="2625" w:type="dxa"/>
          </w:tcPr>
          <w:p w:rsidR="00804A27" w:rsidRDefault="00804A27" w:rsidP="001D4645">
            <w:pPr>
              <w:pStyle w:val="Standard"/>
              <w:jc w:val="center"/>
            </w:pPr>
            <w:r>
              <w:t>5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36</w:t>
            </w:r>
          </w:p>
        </w:tc>
      </w:tr>
      <w:tr w:rsidR="00804A27" w:rsidTr="00E531A9">
        <w:trPr>
          <w:jc w:val="center"/>
        </w:trPr>
        <w:tc>
          <w:tcPr>
            <w:tcW w:w="2625" w:type="dxa"/>
          </w:tcPr>
          <w:p w:rsidR="00804A27" w:rsidRDefault="00804A27" w:rsidP="001D4645">
            <w:pPr>
              <w:pStyle w:val="Standard"/>
              <w:jc w:val="center"/>
            </w:pPr>
            <w:r>
              <w:t>6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8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23</w:t>
            </w:r>
          </w:p>
        </w:tc>
      </w:tr>
      <w:tr w:rsidR="00804A27" w:rsidTr="00E531A9">
        <w:trPr>
          <w:jc w:val="center"/>
        </w:trPr>
        <w:tc>
          <w:tcPr>
            <w:tcW w:w="2625" w:type="dxa"/>
          </w:tcPr>
          <w:p w:rsidR="00804A27" w:rsidRDefault="00804A27" w:rsidP="001D4645">
            <w:pPr>
              <w:pStyle w:val="Standard"/>
              <w:jc w:val="center"/>
            </w:pPr>
            <w:r>
              <w:t>7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2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9</w:t>
            </w:r>
          </w:p>
        </w:tc>
      </w:tr>
      <w:tr w:rsidR="00804A27" w:rsidTr="00E531A9">
        <w:trPr>
          <w:jc w:val="center"/>
        </w:trPr>
        <w:tc>
          <w:tcPr>
            <w:tcW w:w="2625" w:type="dxa"/>
          </w:tcPr>
          <w:p w:rsidR="00804A27" w:rsidRDefault="00804A27" w:rsidP="001D4645">
            <w:pPr>
              <w:pStyle w:val="Standard"/>
              <w:jc w:val="center"/>
            </w:pPr>
            <w:r>
              <w:t>8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2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8</w:t>
            </w:r>
          </w:p>
        </w:tc>
      </w:tr>
      <w:tr w:rsidR="00804A27" w:rsidTr="00E531A9">
        <w:trPr>
          <w:jc w:val="center"/>
        </w:trPr>
        <w:tc>
          <w:tcPr>
            <w:tcW w:w="2625" w:type="dxa"/>
          </w:tcPr>
          <w:p w:rsidR="00804A27" w:rsidRDefault="00804A27" w:rsidP="001D4645">
            <w:pPr>
              <w:pStyle w:val="Standard"/>
              <w:jc w:val="center"/>
            </w:pPr>
            <w:r>
              <w:t>9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2</w:t>
            </w:r>
          </w:p>
        </w:tc>
      </w:tr>
      <w:tr w:rsidR="00804A27" w:rsidTr="00E531A9">
        <w:trPr>
          <w:jc w:val="center"/>
        </w:trPr>
        <w:tc>
          <w:tcPr>
            <w:tcW w:w="2625" w:type="dxa"/>
          </w:tcPr>
          <w:p w:rsidR="00804A27" w:rsidRDefault="00804A27" w:rsidP="001D4645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4</w:t>
            </w:r>
          </w:p>
        </w:tc>
      </w:tr>
      <w:tr w:rsidR="00804A27" w:rsidTr="00E531A9">
        <w:trPr>
          <w:jc w:val="center"/>
        </w:trPr>
        <w:tc>
          <w:tcPr>
            <w:tcW w:w="2625" w:type="dxa"/>
          </w:tcPr>
          <w:p w:rsidR="00804A27" w:rsidRDefault="00804A27" w:rsidP="001D4645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5</w:t>
            </w:r>
          </w:p>
        </w:tc>
      </w:tr>
      <w:tr w:rsidR="00804A27" w:rsidTr="00E531A9">
        <w:trPr>
          <w:jc w:val="center"/>
        </w:trPr>
        <w:tc>
          <w:tcPr>
            <w:tcW w:w="2625" w:type="dxa"/>
          </w:tcPr>
          <w:p w:rsidR="00804A27" w:rsidRDefault="00804A27" w:rsidP="001D4645">
            <w:pPr>
              <w:pStyle w:val="Standard"/>
              <w:jc w:val="center"/>
            </w:pPr>
            <w:r>
              <w:t>Дети из детских домов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4</w:t>
            </w:r>
          </w:p>
        </w:tc>
      </w:tr>
      <w:tr w:rsidR="00804A27" w:rsidTr="00E531A9">
        <w:trPr>
          <w:jc w:val="center"/>
        </w:trPr>
        <w:tc>
          <w:tcPr>
            <w:tcW w:w="2625" w:type="dxa"/>
          </w:tcPr>
          <w:p w:rsidR="00804A27" w:rsidRPr="00E531A9" w:rsidRDefault="00804A27" w:rsidP="001D4645">
            <w:pPr>
              <w:pStyle w:val="Standard"/>
              <w:jc w:val="center"/>
              <w:rPr>
                <w:lang w:val="en-US"/>
              </w:rPr>
            </w:pPr>
            <w:r>
              <w:t>Дети, взятые под опеку</w:t>
            </w: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</w:p>
        </w:tc>
        <w:tc>
          <w:tcPr>
            <w:tcW w:w="2336" w:type="dxa"/>
          </w:tcPr>
          <w:p w:rsidR="00804A27" w:rsidRDefault="00804A27" w:rsidP="001D4645">
            <w:pPr>
              <w:pStyle w:val="Standard"/>
              <w:jc w:val="center"/>
            </w:pPr>
            <w:r>
              <w:t>5</w:t>
            </w:r>
          </w:p>
        </w:tc>
      </w:tr>
    </w:tbl>
    <w:p w:rsidR="001D4645" w:rsidRDefault="001D4645" w:rsidP="00D31B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645" w:rsidRPr="00611549" w:rsidRDefault="003C3FC7" w:rsidP="003C3FC7">
      <w:pPr>
        <w:rPr>
          <w:rFonts w:ascii="Times New Roman" w:hAnsi="Times New Roman" w:cs="Times New Roman"/>
          <w:b/>
          <w:sz w:val="24"/>
          <w:szCs w:val="24"/>
        </w:rPr>
      </w:pPr>
      <w:r w:rsidRPr="00611549">
        <w:rPr>
          <w:rFonts w:ascii="Times New Roman" w:hAnsi="Times New Roman" w:cs="Times New Roman"/>
          <w:b/>
          <w:sz w:val="24"/>
          <w:szCs w:val="24"/>
        </w:rPr>
        <w:lastRenderedPageBreak/>
        <w:t>Диаграмма 1.</w:t>
      </w:r>
    </w:p>
    <w:p w:rsidR="001D4645" w:rsidRDefault="001D4645" w:rsidP="001D464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0BEB9BD" wp14:editId="4400A17A">
            <wp:extent cx="5943600" cy="4539343"/>
            <wp:effectExtent l="0" t="0" r="19050" b="1397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p w:rsidR="001D4645" w:rsidRDefault="001D4645" w:rsidP="001D4645">
      <w:pPr>
        <w:rPr>
          <w:rFonts w:ascii="Times New Roman" w:hAnsi="Times New Roman" w:cs="Times New Roman"/>
          <w:sz w:val="24"/>
          <w:szCs w:val="24"/>
        </w:rPr>
      </w:pPr>
    </w:p>
    <w:p w:rsidR="001D4645" w:rsidRPr="001D4645" w:rsidRDefault="001D4645" w:rsidP="001D4645">
      <w:pPr>
        <w:tabs>
          <w:tab w:val="left" w:pos="3915"/>
        </w:tabs>
        <w:rPr>
          <w:rFonts w:ascii="Times New Roman" w:hAnsi="Times New Roman" w:cs="Times New Roman"/>
          <w:sz w:val="24"/>
          <w:szCs w:val="24"/>
        </w:rPr>
      </w:pPr>
      <w:r w:rsidRPr="00611549">
        <w:rPr>
          <w:rFonts w:ascii="Times New Roman" w:hAnsi="Times New Roman" w:cs="Times New Roman"/>
          <w:b/>
          <w:sz w:val="24"/>
          <w:szCs w:val="24"/>
        </w:rPr>
        <w:t xml:space="preserve">Диаграмма </w:t>
      </w:r>
      <w:r w:rsidR="00611549">
        <w:rPr>
          <w:rFonts w:ascii="Times New Roman" w:hAnsi="Times New Roman" w:cs="Times New Roman"/>
          <w:b/>
          <w:sz w:val="24"/>
          <w:szCs w:val="24"/>
        </w:rPr>
        <w:t>2</w:t>
      </w:r>
      <w:r w:rsidRPr="0061154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noProof/>
          <w:lang w:eastAsia="ru-RU"/>
        </w:rPr>
        <w:drawing>
          <wp:inline distT="0" distB="0" distL="0" distR="0" wp14:anchorId="5021D527" wp14:editId="125ABD3E">
            <wp:extent cx="5940425" cy="3822065"/>
            <wp:effectExtent l="0" t="0" r="3175" b="698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1D4645" w:rsidRPr="001D4645" w:rsidSect="002038F3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B02"/>
    <w:rsid w:val="001D4645"/>
    <w:rsid w:val="002038F3"/>
    <w:rsid w:val="00325D1E"/>
    <w:rsid w:val="003C3FC7"/>
    <w:rsid w:val="00404515"/>
    <w:rsid w:val="00611549"/>
    <w:rsid w:val="006F0A38"/>
    <w:rsid w:val="00804A27"/>
    <w:rsid w:val="00D31B02"/>
    <w:rsid w:val="00E5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04A2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table" w:styleId="a3">
    <w:name w:val="Table Grid"/>
    <w:basedOn w:val="a1"/>
    <w:uiPriority w:val="39"/>
    <w:rsid w:val="00804A2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8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04A2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table" w:styleId="a3">
    <w:name w:val="Table Grid"/>
    <w:basedOn w:val="a1"/>
    <w:uiPriority w:val="39"/>
    <w:rsid w:val="00804A2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oleObject" Target="file:///\\storage-srv\School\&#1044;&#1086;&#1082;&#1091;&#1084;&#1077;&#1085;&#1090;&#1072;&#1094;&#1080;&#1103;&#1044;&#1080;&#1088;&#1077;&#1082;&#1090;&#1086;&#1088;&#1072;\&#1044;&#1051;&#1071;%20&#1057;&#1054;&#1042;&#1045;&#1058;&#1040;%20&#1060;&#1045;&#1044;&#1045;&#1056;&#1040;&#1062;&#1048;&#1048;\&#1057;&#1090;&#1072;&#1090;&#1080;&#1089;&#1090;&#1080;&#1082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909090909090912E-2"/>
          <c:y val="8.3892617449664433E-2"/>
          <c:w val="0.89393939393939392"/>
          <c:h val="0.6912751677852349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68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Sheet1!$B$1:$N$1</c:f>
              <c:numCache>
                <c:formatCode>General</c:formatCode>
                <c:ptCount val="13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</c:numCache>
            </c:numRef>
          </c:cat>
          <c:val>
            <c:numRef>
              <c:f>Sheet1!$B$2:$N$2</c:f>
              <c:numCache>
                <c:formatCode>General</c:formatCode>
                <c:ptCount val="13"/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численность учащихся</c:v>
                </c:pt>
              </c:strCache>
            </c:strRef>
          </c:tx>
          <c:spPr>
            <a:ln w="38068">
              <a:solidFill>
                <a:srgbClr val="FF00FF"/>
              </a:solidFill>
              <a:prstDash val="solid"/>
            </a:ln>
          </c:spPr>
          <c:marker>
            <c:symbol val="x"/>
            <c:size val="4"/>
            <c:spPr>
              <a:solidFill>
                <a:srgbClr val="FFFF99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numRef>
              <c:f>Sheet1!$B$1:$N$1</c:f>
              <c:numCache>
                <c:formatCode>General</c:formatCode>
                <c:ptCount val="13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</c:numCache>
            </c:numRef>
          </c:cat>
          <c:val>
            <c:numRef>
              <c:f>Sheet1!$B$3:$N$3</c:f>
              <c:numCache>
                <c:formatCode>General</c:formatCode>
                <c:ptCount val="13"/>
                <c:pt idx="0">
                  <c:v>15</c:v>
                </c:pt>
                <c:pt idx="1">
                  <c:v>43</c:v>
                </c:pt>
                <c:pt idx="2">
                  <c:v>77</c:v>
                </c:pt>
                <c:pt idx="3">
                  <c:v>95</c:v>
                </c:pt>
                <c:pt idx="4">
                  <c:v>120</c:v>
                </c:pt>
                <c:pt idx="5">
                  <c:v>141</c:v>
                </c:pt>
                <c:pt idx="6">
                  <c:v>151</c:v>
                </c:pt>
                <c:pt idx="7">
                  <c:v>172</c:v>
                </c:pt>
                <c:pt idx="8">
                  <c:v>182</c:v>
                </c:pt>
                <c:pt idx="9">
                  <c:v>205</c:v>
                </c:pt>
                <c:pt idx="10">
                  <c:v>195</c:v>
                </c:pt>
                <c:pt idx="11">
                  <c:v>211</c:v>
                </c:pt>
                <c:pt idx="12">
                  <c:v>218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871296"/>
        <c:axId val="43848064"/>
      </c:lineChart>
      <c:catAx>
        <c:axId val="72871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3848064"/>
        <c:crosses val="autoZero"/>
        <c:auto val="1"/>
        <c:lblAlgn val="l"/>
        <c:lblOffset val="100"/>
        <c:tickLblSkip val="1"/>
        <c:tickMarkSkip val="1"/>
        <c:noMultiLvlLbl val="0"/>
      </c:catAx>
      <c:valAx>
        <c:axId val="43848064"/>
        <c:scaling>
          <c:orientation val="minMax"/>
          <c:max val="220"/>
        </c:scaling>
        <c:delete val="0"/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72871296"/>
        <c:crosses val="autoZero"/>
        <c:crossBetween val="between"/>
        <c:majorUnit val="20"/>
      </c:valAx>
      <c:spPr>
        <a:solidFill>
          <a:srgbClr val="00FFFF"/>
        </a:solidFill>
        <a:ln w="12689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CCFFFF"/>
    </a:solidFill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1917205060905849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1"/>
          <c:order val="0"/>
          <c:tx>
            <c:strRef>
              <c:f>Лист2!$C$1</c:f>
              <c:strCache>
                <c:ptCount val="1"/>
                <c:pt idx="0">
                  <c:v>Количество детей, обучающихся в школе, из семей с указанным количеством детей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-5.5020640682868251E-3"/>
                  <c:y val="-1.391788753207141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9.1701067804779747E-3"/>
                  <c:y val="-5.567155012828566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2.20082562731473E-2"/>
                  <c:y val="8.350732519242835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0.11187530272183213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72263676239487"/>
                      <c:h val="7.6297859450815506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0.11644272831280705"/>
                  <c:y val="3.0105678288686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271890055762913"/>
                      <c:h val="4.28949293738441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Лист2!$A$2:$A$13</c:f>
              <c:strCache>
                <c:ptCount val="12"/>
                <c:pt idx="0">
                  <c:v>1 или 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12</c:v>
                </c:pt>
                <c:pt idx="10">
                  <c:v>Дети из детских домов</c:v>
                </c:pt>
                <c:pt idx="11">
                  <c:v>Дети, взятые под опеку</c:v>
                </c:pt>
              </c:strCache>
            </c:strRef>
          </c:cat>
          <c:val>
            <c:numRef>
              <c:f>Лист2!$C$2:$C$13</c:f>
              <c:numCache>
                <c:formatCode>General</c:formatCode>
                <c:ptCount val="12"/>
                <c:pt idx="0">
                  <c:v>35</c:v>
                </c:pt>
                <c:pt idx="1">
                  <c:v>49</c:v>
                </c:pt>
                <c:pt idx="2">
                  <c:v>40</c:v>
                </c:pt>
                <c:pt idx="3">
                  <c:v>36</c:v>
                </c:pt>
                <c:pt idx="4">
                  <c:v>23</c:v>
                </c:pt>
                <c:pt idx="5">
                  <c:v>9</c:v>
                </c:pt>
                <c:pt idx="6">
                  <c:v>8</c:v>
                </c:pt>
                <c:pt idx="7">
                  <c:v>2</c:v>
                </c:pt>
                <c:pt idx="8">
                  <c:v>4</c:v>
                </c:pt>
                <c:pt idx="9">
                  <c:v>5</c:v>
                </c:pt>
                <c:pt idx="10">
                  <c:v>4</c:v>
                </c:pt>
                <c:pt idx="11">
                  <c:v>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Лист2!$B$1</c15:sqref>
                        </c15:formulaRef>
                      </c:ext>
                    </c:extLst>
                    <c:strCache>
                      <c:ptCount val="1"/>
                      <c:pt idx="0">
                        <c:v>Количество семей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1"/>
                  <c:bubble3D val="0"/>
                  <c:spPr>
                    <a:solidFill>
                      <a:schemeClr val="accent2"/>
                    </a:solidFill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2"/>
                  <c:bubble3D val="0"/>
                  <c:spPr>
                    <a:solidFill>
                      <a:schemeClr val="accent3"/>
                    </a:solidFill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3"/>
                  <c:bubble3D val="0"/>
                  <c:spPr>
                    <a:solidFill>
                      <a:schemeClr val="accent4"/>
                    </a:solidFill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4"/>
                  <c:bubble3D val="0"/>
                  <c:spPr>
                    <a:solidFill>
                      <a:schemeClr val="accent5"/>
                    </a:solidFill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5"/>
                  <c:bubble3D val="0"/>
                  <c:spPr>
                    <a:solidFill>
                      <a:schemeClr val="accent6"/>
                    </a:solidFill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6"/>
                  <c:bubble3D val="0"/>
                  <c:spPr>
                    <a:solidFill>
                      <a:schemeClr val="accent1">
                        <a:lumMod val="60000"/>
                      </a:schemeClr>
                    </a:solidFill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7"/>
                  <c:bubble3D val="0"/>
                  <c:spPr>
                    <a:solidFill>
                      <a:schemeClr val="accent2">
                        <a:lumMod val="60000"/>
                      </a:schemeClr>
                    </a:solidFill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8"/>
                  <c:bubble3D val="0"/>
                  <c:spPr>
                    <a:solidFill>
                      <a:schemeClr val="accent3">
                        <a:lumMod val="60000"/>
                      </a:schemeClr>
                    </a:solidFill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9"/>
                  <c:bubble3D val="0"/>
                  <c:spPr>
                    <a:solidFill>
                      <a:schemeClr val="accent4">
                        <a:lumMod val="60000"/>
                      </a:schemeClr>
                    </a:solidFill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10"/>
                  <c:bubble3D val="0"/>
                  <c:spPr>
                    <a:solidFill>
                      <a:schemeClr val="accent5">
                        <a:lumMod val="60000"/>
                      </a:schemeClr>
                    </a:solidFill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11"/>
                  <c:bubble3D val="0"/>
                  <c:spPr>
                    <a:solidFill>
                      <a:schemeClr val="accent6">
                        <a:lumMod val="60000"/>
                      </a:schemeClr>
                    </a:solidFill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Lbls>
                  <c:dLbl>
                    <c:idx val="0"/>
                    <c:spPr>
                      <a:noFill/>
                      <a:ln>
                        <a:noFill/>
                      </a:ln>
                      <a:effectLst/>
                    </c:spPr>
                    <c:txPr>
                      <a:bodyPr rot="0" spcFirstLastPara="1" vertOverflow="ellipsis" vert="horz" wrap="square" lIns="38100" tIns="19050" rIns="38100" bIns="19050" anchor="ctr" anchorCtr="1">
                        <a:spAutoFit/>
                      </a:bodyPr>
                      <a:lstStyle/>
                      <a:p>
                        <a:pPr>
                          <a:defRPr sz="1000" b="1" i="0" u="none" strike="noStrike" kern="1200" spc="0" baseline="0">
                            <a:solidFill>
                              <a:schemeClr val="accen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pPr>
                        <a:endParaRPr lang="ru-RU"/>
                      </a:p>
                    </c:txPr>
                    <c:dLblPos val="outEnd"/>
                    <c:showLegendKey val="0"/>
                    <c:showVal val="0"/>
                    <c:showCatName val="0"/>
                    <c:showSerName val="0"/>
                    <c:showPercent val="1"/>
                    <c:showBubbleSize val="0"/>
                  </c:dLbl>
                  <c:dLbl>
                    <c:idx val="1"/>
                    <c:spPr>
                      <a:noFill/>
                      <a:ln>
                        <a:noFill/>
                      </a:ln>
                      <a:effectLst/>
                    </c:spPr>
                    <c:txPr>
                      <a:bodyPr rot="0" spcFirstLastPara="1" vertOverflow="ellipsis" vert="horz" wrap="square" lIns="38100" tIns="19050" rIns="38100" bIns="19050" anchor="ctr" anchorCtr="1">
                        <a:spAutoFit/>
                      </a:bodyPr>
                      <a:lstStyle/>
                      <a:p>
                        <a:pPr>
                          <a:defRPr sz="1000" b="1" i="0" u="none" strike="noStrike" kern="1200" spc="0" baseline="0">
                            <a:solidFill>
                              <a:schemeClr val="accent2"/>
                            </a:solidFill>
                            <a:latin typeface="+mn-lt"/>
                            <a:ea typeface="+mn-ea"/>
                            <a:cs typeface="+mn-cs"/>
                          </a:defRPr>
                        </a:pPr>
                        <a:endParaRPr lang="ru-RU"/>
                      </a:p>
                    </c:txPr>
                    <c:dLblPos val="outEnd"/>
                    <c:showLegendKey val="0"/>
                    <c:showVal val="0"/>
                    <c:showCatName val="0"/>
                    <c:showSerName val="0"/>
                    <c:showPercent val="1"/>
                    <c:showBubbleSize val="0"/>
                  </c:dLbl>
                  <c:dLbl>
                    <c:idx val="2"/>
                    <c:spPr>
                      <a:noFill/>
                      <a:ln>
                        <a:noFill/>
                      </a:ln>
                      <a:effectLst/>
                    </c:spPr>
                    <c:txPr>
                      <a:bodyPr rot="0" spcFirstLastPara="1" vertOverflow="ellipsis" vert="horz" wrap="square" lIns="38100" tIns="19050" rIns="38100" bIns="19050" anchor="ctr" anchorCtr="1">
                        <a:spAutoFit/>
                      </a:bodyPr>
                      <a:lstStyle/>
                      <a:p>
                        <a:pPr>
                          <a:defRPr sz="1000" b="1" i="0" u="none" strike="noStrike" kern="1200" spc="0" baseline="0">
                            <a:solidFill>
                              <a:schemeClr val="accent3"/>
                            </a:solidFill>
                            <a:latin typeface="+mn-lt"/>
                            <a:ea typeface="+mn-ea"/>
                            <a:cs typeface="+mn-cs"/>
                          </a:defRPr>
                        </a:pPr>
                        <a:endParaRPr lang="ru-RU"/>
                      </a:p>
                    </c:txPr>
                    <c:dLblPos val="outEnd"/>
                    <c:showLegendKey val="0"/>
                    <c:showVal val="0"/>
                    <c:showCatName val="0"/>
                    <c:showSerName val="0"/>
                    <c:showPercent val="1"/>
                    <c:showBubbleSize val="0"/>
                  </c:dLbl>
                  <c:dLbl>
                    <c:idx val="3"/>
                    <c:spPr>
                      <a:noFill/>
                      <a:ln>
                        <a:noFill/>
                      </a:ln>
                      <a:effectLst/>
                    </c:spPr>
                    <c:txPr>
                      <a:bodyPr rot="0" spcFirstLastPara="1" vertOverflow="ellipsis" vert="horz" wrap="square" lIns="38100" tIns="19050" rIns="38100" bIns="19050" anchor="ctr" anchorCtr="1">
                        <a:spAutoFit/>
                      </a:bodyPr>
                      <a:lstStyle/>
                      <a:p>
                        <a:pPr>
                          <a:defRPr sz="1000" b="1" i="0" u="none" strike="noStrike" kern="1200" spc="0" baseline="0">
                            <a:solidFill>
                              <a:schemeClr val="accent4"/>
                            </a:solidFill>
                            <a:latin typeface="+mn-lt"/>
                            <a:ea typeface="+mn-ea"/>
                            <a:cs typeface="+mn-cs"/>
                          </a:defRPr>
                        </a:pPr>
                        <a:endParaRPr lang="ru-RU"/>
                      </a:p>
                    </c:txPr>
                    <c:dLblPos val="outEnd"/>
                    <c:showLegendKey val="0"/>
                    <c:showVal val="0"/>
                    <c:showCatName val="0"/>
                    <c:showSerName val="0"/>
                    <c:showPercent val="1"/>
                    <c:showBubbleSize val="0"/>
                  </c:dLbl>
                  <c:dLbl>
                    <c:idx val="4"/>
                    <c:spPr>
                      <a:noFill/>
                      <a:ln>
                        <a:noFill/>
                      </a:ln>
                      <a:effectLst/>
                    </c:spPr>
                    <c:txPr>
                      <a:bodyPr rot="0" spcFirstLastPara="1" vertOverflow="ellipsis" vert="horz" wrap="square" lIns="38100" tIns="19050" rIns="38100" bIns="19050" anchor="ctr" anchorCtr="1">
                        <a:spAutoFit/>
                      </a:bodyPr>
                      <a:lstStyle/>
                      <a:p>
                        <a:pPr>
                          <a:defRPr sz="1000" b="1" i="0" u="none" strike="noStrike" kern="1200" spc="0" baseline="0">
                            <a:solidFill>
                              <a:schemeClr val="accent5"/>
                            </a:solidFill>
                            <a:latin typeface="+mn-lt"/>
                            <a:ea typeface="+mn-ea"/>
                            <a:cs typeface="+mn-cs"/>
                          </a:defRPr>
                        </a:pPr>
                        <a:endParaRPr lang="ru-RU"/>
                      </a:p>
                    </c:txPr>
                    <c:dLblPos val="outEnd"/>
                    <c:showLegendKey val="0"/>
                    <c:showVal val="0"/>
                    <c:showCatName val="0"/>
                    <c:showSerName val="0"/>
                    <c:showPercent val="1"/>
                    <c:showBubbleSize val="0"/>
                  </c:dLbl>
                  <c:dLbl>
                    <c:idx val="5"/>
                    <c:spPr>
                      <a:noFill/>
                      <a:ln>
                        <a:noFill/>
                      </a:ln>
                      <a:effectLst/>
                    </c:spPr>
                    <c:txPr>
                      <a:bodyPr rot="0" spcFirstLastPara="1" vertOverflow="ellipsis" vert="horz" wrap="square" lIns="38100" tIns="19050" rIns="38100" bIns="19050" anchor="ctr" anchorCtr="1">
                        <a:spAutoFit/>
                      </a:bodyPr>
                      <a:lstStyle/>
                      <a:p>
                        <a:pPr>
                          <a:defRPr sz="1000" b="1" i="0" u="none" strike="noStrike" kern="1200" spc="0" baseline="0">
                            <a:solidFill>
                              <a:schemeClr val="accent6"/>
                            </a:solidFill>
                            <a:latin typeface="+mn-lt"/>
                            <a:ea typeface="+mn-ea"/>
                            <a:cs typeface="+mn-cs"/>
                          </a:defRPr>
                        </a:pPr>
                        <a:endParaRPr lang="ru-RU"/>
                      </a:p>
                    </c:txPr>
                    <c:dLblPos val="outEnd"/>
                    <c:showLegendKey val="0"/>
                    <c:showVal val="0"/>
                    <c:showCatName val="0"/>
                    <c:showSerName val="0"/>
                    <c:showPercent val="1"/>
                    <c:showBubbleSize val="0"/>
                  </c:dLbl>
                  <c:dLbl>
                    <c:idx val="6"/>
                    <c:spPr>
                      <a:noFill/>
                      <a:ln>
                        <a:noFill/>
                      </a:ln>
                      <a:effectLst/>
                    </c:spPr>
                    <c:txPr>
                      <a:bodyPr rot="0" spcFirstLastPara="1" vertOverflow="ellipsis" vert="horz" wrap="square" lIns="38100" tIns="19050" rIns="38100" bIns="19050" anchor="ctr" anchorCtr="1">
                        <a:spAutoFit/>
                      </a:bodyPr>
                      <a:lstStyle/>
                      <a:p>
                        <a:pPr>
                          <a:defRPr sz="1000" b="1" i="0" u="none" strike="noStrike" kern="1200" spc="0" baseline="0">
                            <a:solidFill>
                              <a:schemeClr val="accent1">
                                <a:lumMod val="60000"/>
                              </a:schemeClr>
                            </a:solidFill>
                            <a:latin typeface="+mn-lt"/>
                            <a:ea typeface="+mn-ea"/>
                            <a:cs typeface="+mn-cs"/>
                          </a:defRPr>
                        </a:pPr>
                        <a:endParaRPr lang="ru-RU"/>
                      </a:p>
                    </c:txPr>
                    <c:dLblPos val="outEnd"/>
                    <c:showLegendKey val="0"/>
                    <c:showVal val="0"/>
                    <c:showCatName val="0"/>
                    <c:showSerName val="0"/>
                    <c:showPercent val="1"/>
                    <c:showBubbleSize val="0"/>
                  </c:dLbl>
                  <c:dLbl>
                    <c:idx val="7"/>
                    <c:spPr>
                      <a:noFill/>
                      <a:ln>
                        <a:noFill/>
                      </a:ln>
                      <a:effectLst/>
                    </c:spPr>
                    <c:txPr>
                      <a:bodyPr rot="0" spcFirstLastPara="1" vertOverflow="ellipsis" vert="horz" wrap="square" lIns="38100" tIns="19050" rIns="38100" bIns="19050" anchor="ctr" anchorCtr="1">
                        <a:spAutoFit/>
                      </a:bodyPr>
                      <a:lstStyle/>
                      <a:p>
                        <a:pPr>
                          <a:defRPr sz="1000" b="1" i="0" u="none" strike="noStrike" kern="1200" spc="0" baseline="0">
                            <a:solidFill>
                              <a:schemeClr val="accent2">
                                <a:lumMod val="60000"/>
                              </a:schemeClr>
                            </a:solidFill>
                            <a:latin typeface="+mn-lt"/>
                            <a:ea typeface="+mn-ea"/>
                            <a:cs typeface="+mn-cs"/>
                          </a:defRPr>
                        </a:pPr>
                        <a:endParaRPr lang="ru-RU"/>
                      </a:p>
                    </c:txPr>
                    <c:dLblPos val="outEnd"/>
                    <c:showLegendKey val="0"/>
                    <c:showVal val="0"/>
                    <c:showCatName val="0"/>
                    <c:showSerName val="0"/>
                    <c:showPercent val="1"/>
                    <c:showBubbleSize val="0"/>
                  </c:dLbl>
                  <c:dLbl>
                    <c:idx val="8"/>
                    <c:spPr>
                      <a:noFill/>
                      <a:ln>
                        <a:noFill/>
                      </a:ln>
                      <a:effectLst/>
                    </c:spPr>
                    <c:txPr>
                      <a:bodyPr rot="0" spcFirstLastPara="1" vertOverflow="ellipsis" vert="horz" wrap="square" lIns="38100" tIns="19050" rIns="38100" bIns="19050" anchor="ctr" anchorCtr="1">
                        <a:spAutoFit/>
                      </a:bodyPr>
                      <a:lstStyle/>
                      <a:p>
                        <a:pPr>
                          <a:defRPr sz="1000" b="1" i="0" u="none" strike="noStrike" kern="1200" spc="0" baseline="0">
                            <a:solidFill>
                              <a:schemeClr val="accent3">
                                <a:lumMod val="60000"/>
                              </a:schemeClr>
                            </a:solidFill>
                            <a:latin typeface="+mn-lt"/>
                            <a:ea typeface="+mn-ea"/>
                            <a:cs typeface="+mn-cs"/>
                          </a:defRPr>
                        </a:pPr>
                        <a:endParaRPr lang="ru-RU"/>
                      </a:p>
                    </c:txPr>
                    <c:dLblPos val="outEnd"/>
                    <c:showLegendKey val="0"/>
                    <c:showVal val="0"/>
                    <c:showCatName val="0"/>
                    <c:showSerName val="0"/>
                    <c:showPercent val="1"/>
                    <c:showBubbleSize val="0"/>
                  </c:dLbl>
                  <c:dLbl>
                    <c:idx val="9"/>
                    <c:spPr>
                      <a:noFill/>
                      <a:ln>
                        <a:noFill/>
                      </a:ln>
                      <a:effectLst/>
                    </c:spPr>
                    <c:txPr>
                      <a:bodyPr rot="0" spcFirstLastPara="1" vertOverflow="ellipsis" vert="horz" wrap="square" lIns="38100" tIns="19050" rIns="38100" bIns="19050" anchor="ctr" anchorCtr="1">
                        <a:spAutoFit/>
                      </a:bodyPr>
                      <a:lstStyle/>
                      <a:p>
                        <a:pPr>
                          <a:defRPr sz="1000" b="1" i="0" u="none" strike="noStrike" kern="1200" spc="0" baseline="0">
                            <a:solidFill>
                              <a:schemeClr val="accent4">
                                <a:lumMod val="60000"/>
                              </a:schemeClr>
                            </a:solidFill>
                            <a:latin typeface="+mn-lt"/>
                            <a:ea typeface="+mn-ea"/>
                            <a:cs typeface="+mn-cs"/>
                          </a:defRPr>
                        </a:pPr>
                        <a:endParaRPr lang="ru-RU"/>
                      </a:p>
                    </c:txPr>
                    <c:dLblPos val="outEnd"/>
                    <c:showLegendKey val="0"/>
                    <c:showVal val="0"/>
                    <c:showCatName val="0"/>
                    <c:showSerName val="0"/>
                    <c:showPercent val="1"/>
                    <c:showBubbleSize val="0"/>
                  </c:dLbl>
                  <c:dLbl>
                    <c:idx val="10"/>
                    <c:spPr>
                      <a:noFill/>
                      <a:ln>
                        <a:noFill/>
                      </a:ln>
                      <a:effectLst/>
                    </c:spPr>
                    <c:txPr>
                      <a:bodyPr rot="0" spcFirstLastPara="1" vertOverflow="ellipsis" vert="horz" wrap="square" lIns="38100" tIns="19050" rIns="38100" bIns="19050" anchor="ctr" anchorCtr="1">
                        <a:spAutoFit/>
                      </a:bodyPr>
                      <a:lstStyle/>
                      <a:p>
                        <a:pPr>
                          <a:defRPr sz="1000" b="1" i="0" u="none" strike="noStrike" kern="1200" spc="0" baseline="0">
                            <a:solidFill>
                              <a:schemeClr val="accent5">
                                <a:lumMod val="60000"/>
                              </a:schemeClr>
                            </a:solidFill>
                            <a:latin typeface="+mn-lt"/>
                            <a:ea typeface="+mn-ea"/>
                            <a:cs typeface="+mn-cs"/>
                          </a:defRPr>
                        </a:pPr>
                        <a:endParaRPr lang="ru-RU"/>
                      </a:p>
                    </c:txPr>
                    <c:dLblPos val="outEnd"/>
                    <c:showLegendKey val="0"/>
                    <c:showVal val="0"/>
                    <c:showCatName val="0"/>
                    <c:showSerName val="0"/>
                    <c:showPercent val="1"/>
                    <c:showBubbleSize val="0"/>
                  </c:dLbl>
                  <c:dLbl>
                    <c:idx val="11"/>
                    <c:spPr>
                      <a:noFill/>
                      <a:ln>
                        <a:noFill/>
                      </a:ln>
                      <a:effectLst/>
                    </c:spPr>
                    <c:txPr>
                      <a:bodyPr rot="0" spcFirstLastPara="1" vertOverflow="ellipsis" vert="horz" wrap="square" lIns="38100" tIns="19050" rIns="38100" bIns="19050" anchor="ctr" anchorCtr="1">
                        <a:spAutoFit/>
                      </a:bodyPr>
                      <a:lstStyle/>
                      <a:p>
                        <a:pPr>
                          <a:defRPr sz="1000" b="1" i="0" u="none" strike="noStrike" kern="1200" spc="0" baseline="0">
                            <a:solidFill>
                              <a:schemeClr val="accent6">
                                <a:lumMod val="60000"/>
                              </a:schemeClr>
                            </a:solidFill>
                            <a:latin typeface="+mn-lt"/>
                            <a:ea typeface="+mn-ea"/>
                            <a:cs typeface="+mn-cs"/>
                          </a:defRPr>
                        </a:pPr>
                        <a:endParaRPr lang="ru-RU"/>
                      </a:p>
                    </c:txPr>
                    <c:dLblPos val="outEnd"/>
                    <c:showLegendKey val="0"/>
                    <c:showVal val="0"/>
                    <c:showCatName val="0"/>
                    <c:showSerName val="0"/>
                    <c:showPercent val="1"/>
                    <c:showBubbleSize val="0"/>
                  </c:dLbl>
                  <c:spPr>
                    <a:noFill/>
                    <a:ln>
                      <a:noFill/>
                    </a:ln>
                    <a:effectLst/>
                  </c:spPr>
                  <c:dLblPos val="outEnd"/>
                  <c:showLegendKey val="0"/>
                  <c:showVal val="0"/>
                  <c:showCatName val="0"/>
                  <c:showSerName val="0"/>
                  <c:showPercent val="1"/>
                  <c:showBubbleSize val="0"/>
                  <c:showLeaderLines val="1"/>
                  <c:leaderLines>
                    <c:spPr>
                      <a:ln w="9525" cap="flat" cmpd="sng" algn="ctr">
                        <a:solidFill>
                          <a:schemeClr val="tx1">
                            <a:lumMod val="35000"/>
                            <a:lumOff val="65000"/>
                          </a:schemeClr>
                        </a:solidFill>
                        <a:round/>
                      </a:ln>
                      <a:effectLst/>
                    </c:spPr>
                  </c:leaderLines>
                  <c:extLst>
                    <c:ext uri="{CE6537A1-D6FC-4f65-9D91-7224C49458BB}"/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Лист2!$A$2:$A$13</c15:sqref>
                        </c15:formulaRef>
                      </c:ext>
                    </c:extLst>
                    <c:strCache>
                      <c:ptCount val="12"/>
                      <c:pt idx="0">
                        <c:v>1 или 2</c:v>
                      </c:pt>
                      <c:pt idx="1">
                        <c:v>3</c:v>
                      </c:pt>
                      <c:pt idx="2">
                        <c:v>4</c:v>
                      </c:pt>
                      <c:pt idx="3">
                        <c:v>5</c:v>
                      </c:pt>
                      <c:pt idx="4">
                        <c:v>6</c:v>
                      </c:pt>
                      <c:pt idx="5">
                        <c:v>7</c:v>
                      </c:pt>
                      <c:pt idx="6">
                        <c:v>8</c:v>
                      </c:pt>
                      <c:pt idx="7">
                        <c:v>9</c:v>
                      </c:pt>
                      <c:pt idx="8">
                        <c:v>10</c:v>
                      </c:pt>
                      <c:pt idx="9">
                        <c:v>12</c:v>
                      </c:pt>
                      <c:pt idx="10">
                        <c:v>Дети из детских домов</c:v>
                      </c:pt>
                      <c:pt idx="11">
                        <c:v>Дети, взятые под опеку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Лист2!$B$2:$B$13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20</c:v>
                      </c:pt>
                      <c:pt idx="1">
                        <c:v>34</c:v>
                      </c:pt>
                      <c:pt idx="2">
                        <c:v>20</c:v>
                      </c:pt>
                      <c:pt idx="3">
                        <c:v>15</c:v>
                      </c:pt>
                      <c:pt idx="4">
                        <c:v>8</c:v>
                      </c:pt>
                      <c:pt idx="5">
                        <c:v>2</c:v>
                      </c:pt>
                      <c:pt idx="6">
                        <c:v>2</c:v>
                      </c:pt>
                      <c:pt idx="7">
                        <c:v>1</c:v>
                      </c:pt>
                      <c:pt idx="8">
                        <c:v>1</c:v>
                      </c:pt>
                      <c:pt idx="9">
                        <c:v>1</c:v>
                      </c:pt>
                    </c:numCache>
                  </c:numRef>
                </c:val>
              </c15:ser>
            </c15:filteredPieSeries>
          </c:ext>
        </c:extLst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семей с данным количеством детей и количество учащихся из таких семей.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Количество семей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dLbl>
              <c:idx val="7"/>
              <c:layout>
                <c:manualLayout>
                  <c:x val="-2.6526246471117069E-2"/>
                  <c:y val="3.15116551025181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6846162234601423E-2"/>
                  <c:y val="2.16106650035082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6846162234601423E-2"/>
                  <c:y val="1.8948831891063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Лист2!$A$2:$A$13</c:f>
              <c:strCache>
                <c:ptCount val="12"/>
                <c:pt idx="0">
                  <c:v>1 или 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12</c:v>
                </c:pt>
                <c:pt idx="10">
                  <c:v>Дети из детских домов</c:v>
                </c:pt>
                <c:pt idx="11">
                  <c:v>Дети, взятые под опеку</c:v>
                </c:pt>
              </c:strCache>
            </c:strRef>
          </c:cat>
          <c:val>
            <c:numRef>
              <c:f>Лист2!$B$2:$B$13</c:f>
              <c:numCache>
                <c:formatCode>General</c:formatCode>
                <c:ptCount val="12"/>
                <c:pt idx="0">
                  <c:v>20</c:v>
                </c:pt>
                <c:pt idx="1">
                  <c:v>34</c:v>
                </c:pt>
                <c:pt idx="2">
                  <c:v>20</c:v>
                </c:pt>
                <c:pt idx="3">
                  <c:v>15</c:v>
                </c:pt>
                <c:pt idx="4">
                  <c:v>8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Количество детей, обучающихся в школе, из семей с указанным количеством детей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dLbl>
              <c:idx val="6"/>
              <c:layout>
                <c:manualLayout>
                  <c:x val="-3.6591304347826085E-2"/>
                  <c:y val="-1.18168408280845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271819592920773E-2"/>
                  <c:y val="-1.808684805488422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718195929207654E-2"/>
                  <c:y val="2.130402016579610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0399383990414017E-2"/>
                  <c:y val="-4.470258049427111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Лист2!$A$2:$A$13</c:f>
              <c:strCache>
                <c:ptCount val="12"/>
                <c:pt idx="0">
                  <c:v>1 или 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12</c:v>
                </c:pt>
                <c:pt idx="10">
                  <c:v>Дети из детских домов</c:v>
                </c:pt>
                <c:pt idx="11">
                  <c:v>Дети, взятые под опеку</c:v>
                </c:pt>
              </c:strCache>
            </c:strRef>
          </c:cat>
          <c:val>
            <c:numRef>
              <c:f>Лист2!$C$2:$C$13</c:f>
              <c:numCache>
                <c:formatCode>General</c:formatCode>
                <c:ptCount val="12"/>
                <c:pt idx="0">
                  <c:v>35</c:v>
                </c:pt>
                <c:pt idx="1">
                  <c:v>49</c:v>
                </c:pt>
                <c:pt idx="2">
                  <c:v>40</c:v>
                </c:pt>
                <c:pt idx="3">
                  <c:v>36</c:v>
                </c:pt>
                <c:pt idx="4">
                  <c:v>23</c:v>
                </c:pt>
                <c:pt idx="5">
                  <c:v>9</c:v>
                </c:pt>
                <c:pt idx="6">
                  <c:v>8</c:v>
                </c:pt>
                <c:pt idx="7">
                  <c:v>2</c:v>
                </c:pt>
                <c:pt idx="8">
                  <c:v>4</c:v>
                </c:pt>
                <c:pt idx="9">
                  <c:v>5</c:v>
                </c:pt>
                <c:pt idx="10">
                  <c:v>4</c:v>
                </c:pt>
                <c:pt idx="11">
                  <c:v>5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3598464"/>
        <c:axId val="73600000"/>
      </c:lineChart>
      <c:catAx>
        <c:axId val="73598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600000"/>
        <c:crosses val="autoZero"/>
        <c:auto val="1"/>
        <c:lblAlgn val="ctr"/>
        <c:lblOffset val="100"/>
        <c:noMultiLvlLbl val="0"/>
      </c:catAx>
      <c:valAx>
        <c:axId val="7360000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73598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B104F-E578-4BA4-B424-6960C9D4D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Лаврухин</dc:creator>
  <cp:keywords/>
  <dc:description/>
  <cp:lastModifiedBy>Zahar Bugaev</cp:lastModifiedBy>
  <cp:revision>3</cp:revision>
  <cp:lastPrinted>2015-11-22T14:15:00Z</cp:lastPrinted>
  <dcterms:created xsi:type="dcterms:W3CDTF">2015-11-17T13:12:00Z</dcterms:created>
  <dcterms:modified xsi:type="dcterms:W3CDTF">2015-11-22T14:24:00Z</dcterms:modified>
</cp:coreProperties>
</file>